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Times New Roman" w:hAnsi="Times New Roman" w:eastAsia="宋体" w:cs="Times New Roman"/>
          <w:b/>
          <w:bCs/>
          <w:color w:val="auto"/>
          <w:sz w:val="36"/>
          <w:szCs w:val="36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sz w:val="36"/>
          <w:szCs w:val="36"/>
        </w:rPr>
        <w:t>伦理委员会送审文件清单</w:t>
      </w:r>
    </w:p>
    <w:p>
      <w:pPr>
        <w:widowControl w:val="0"/>
        <w:numPr>
          <w:ilvl w:val="0"/>
          <w:numId w:val="1"/>
        </w:numPr>
        <w:tabs>
          <w:tab w:val="left" w:pos="5745"/>
        </w:tabs>
        <w:ind w:left="510" w:leftChars="0" w:hanging="510" w:firstLineChars="0"/>
        <w:jc w:val="both"/>
        <w:rPr>
          <w:rFonts w:hint="default" w:ascii="Times New Roman" w:hAnsi="Times New Roman" w:eastAsia="宋体" w:cs="Times New Roman"/>
          <w:b/>
          <w:bCs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kern w:val="2"/>
          <w:sz w:val="28"/>
          <w:szCs w:val="28"/>
          <w:lang w:val="en-US" w:eastAsia="zh-CN" w:bidi="ar-SA"/>
        </w:rPr>
        <w:t>初始审查</w:t>
      </w:r>
      <w:r>
        <w:rPr>
          <w:rFonts w:hint="eastAsia" w:ascii="Times New Roman" w:hAnsi="Times New Roman" w:eastAsia="宋体" w:cs="Times New Roman"/>
          <w:b/>
          <w:bCs/>
          <w:color w:val="auto"/>
          <w:kern w:val="2"/>
          <w:sz w:val="28"/>
          <w:szCs w:val="28"/>
          <w:lang w:val="en-US" w:eastAsia="zh-CN" w:bidi="ar-SA"/>
        </w:rPr>
        <w:tab/>
      </w:r>
    </w:p>
    <w:p>
      <w:pPr>
        <w:widowControl w:val="0"/>
        <w:numPr>
          <w:ilvl w:val="0"/>
          <w:numId w:val="2"/>
        </w:numPr>
        <w:spacing w:before="234" w:beforeLines="75" w:after="234" w:afterLines="75" w:line="360" w:lineRule="auto"/>
        <w:ind w:left="420" w:hanging="420" w:firstLineChars="0"/>
        <w:jc w:val="both"/>
        <w:rPr>
          <w:rFonts w:hint="default" w:ascii="Times New Roman" w:hAnsi="Times New Roman" w:eastAsia="宋体" w:cs="Times New Roman"/>
          <w:b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kern w:val="2"/>
          <w:sz w:val="24"/>
          <w:szCs w:val="24"/>
          <w:lang w:val="en-US" w:eastAsia="zh-CN" w:bidi="ar-SA"/>
        </w:rPr>
        <w:t>药物临床试验</w:t>
      </w:r>
      <w:bookmarkStart w:id="0" w:name="_GoBack"/>
      <w:bookmarkEnd w:id="0"/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1"/>
        <w:gridCol w:w="7722"/>
        <w:gridCol w:w="7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0"/>
              </w:numPr>
              <w:ind w:leftChars="0" w:firstLine="480" w:firstLineChars="20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/>
                <w:bCs w:val="0"/>
                <w:color w:val="auto"/>
                <w:sz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color w:val="auto"/>
                <w:sz w:val="24"/>
                <w:lang w:eastAsia="zh-CN"/>
              </w:rPr>
              <w:t>文件名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auto"/>
                <w:sz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color w:val="auto"/>
                <w:sz w:val="24"/>
                <w:lang w:eastAsia="zh-CN"/>
              </w:rPr>
              <w:t>应提供份数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递交文件清单（注明文件名称、版本号和版本日期）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研究材料诚信承诺书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初始审查申请表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NMPA批件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或备案文件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/组长单位批件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研究者责任声明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申办方资质证明文件（申办方签章）和/或CRO资质证明文件（CRO签章）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申办方对CRO/CRA的委托书（申办方签章）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受试者保险的相关文件（如有）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试验用药品检验报告和/或药品说明书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0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主要研究者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eastAsia="zh-CN"/>
              </w:rPr>
              <w:t>及参加试验的研究者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履历和其他资质文件（最新的，有签名并注明日期）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CRO对CRA的委托书、CRA身份证复印件、CRA GCP培训证书（CRO签章）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研究者手册（注明版本号和日期）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临床研究方案及其修订版（注明版本号和日期，主要研究者签名）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知情同意书（注明版本号和日期）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对试验中涉及的伦理问题的说明（如在临床试验方案中已做了充分说明则可免报）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受试者招募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广告及其发布形式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（包括文字、视频材料等）（注明版本号和日期）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受试者补偿信息的文件及其他提供给受试者任何书面资料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spacing w:line="440" w:lineRule="exact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伦理委员会审查过程中用于更好地判断，临床试验中是否确保受试者权益及安全基本医疗的相关资料</w:t>
            </w:r>
          </w:p>
        </w:tc>
        <w:tc>
          <w:tcPr>
            <w:tcW w:w="745" w:type="dxa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病例报告表（注明版本号和日期）、简易病历、受试者卡片、问卷等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spacing w:line="440" w:lineRule="exact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如申请的试验项目已获其他伦理委员会的审查，应提供相应文件</w:t>
            </w:r>
          </w:p>
        </w:tc>
        <w:tc>
          <w:tcPr>
            <w:tcW w:w="745" w:type="dxa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spacing w:line="440" w:lineRule="exact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生物样本、信息数据的来源证明</w:t>
            </w:r>
          </w:p>
        </w:tc>
        <w:tc>
          <w:tcPr>
            <w:tcW w:w="745" w:type="dxa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spacing w:line="440" w:lineRule="exact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eastAsia="zh-CN"/>
              </w:rPr>
              <w:t>利益冲突声明</w:t>
            </w:r>
          </w:p>
        </w:tc>
        <w:tc>
          <w:tcPr>
            <w:tcW w:w="745" w:type="dxa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spacing w:line="440" w:lineRule="exact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科学性论证意见</w:t>
            </w:r>
          </w:p>
        </w:tc>
        <w:tc>
          <w:tcPr>
            <w:tcW w:w="745" w:type="dxa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spacing w:line="440" w:lineRule="exact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研究成果的发布形式说明</w:t>
            </w:r>
          </w:p>
        </w:tc>
        <w:tc>
          <w:tcPr>
            <w:tcW w:w="745" w:type="dxa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1" w:type="dxa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ind w:firstLine="420" w:firstLineChars="0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2" w:type="dxa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其他相关文件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03" w:type="dxa"/>
            <w:gridSpan w:val="2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  <w:t>备注：</w:t>
            </w:r>
          </w:p>
          <w:p>
            <w:pPr>
              <w:numPr>
                <w:ilvl w:val="0"/>
                <w:numId w:val="4"/>
              </w:numPr>
              <w:ind w:left="425" w:leftChars="0" w:hanging="425" w:firstLineChars="0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请按要求提供2套完整版审查资料和11套简装版资料（共11套），并加盖骑缝章。</w:t>
            </w:r>
          </w:p>
          <w:p>
            <w:pPr>
              <w:numPr>
                <w:ilvl w:val="0"/>
                <w:numId w:val="4"/>
              </w:numPr>
              <w:ind w:left="425" w:leftChars="0" w:hanging="425" w:firstLineChars="0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4"/>
                <w:lang w:val="en-US" w:eastAsia="zh-CN"/>
              </w:rPr>
              <w:t>完整版资料请用黑色打孔文件夹装订，简装版资料可自行选择装订方式。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4"/>
              </w:rPr>
            </w:pPr>
          </w:p>
        </w:tc>
      </w:tr>
    </w:tbl>
    <w:p>
      <w:pPr>
        <w:rPr>
          <w:rFonts w:hint="default" w:ascii="Times New Roman" w:hAnsi="Times New Roman" w:eastAsia="宋体" w:cs="Times New Roman"/>
          <w:color w:val="auto"/>
          <w:sz w:val="24"/>
        </w:rPr>
      </w:pPr>
    </w:p>
    <w:p>
      <w:pPr>
        <w:widowControl w:val="0"/>
        <w:numPr>
          <w:ilvl w:val="0"/>
          <w:numId w:val="1"/>
        </w:numPr>
        <w:spacing w:before="234" w:beforeLines="75" w:after="234" w:afterLines="75" w:line="360" w:lineRule="auto"/>
        <w:ind w:left="510" w:leftChars="0" w:hanging="510" w:firstLineChars="0"/>
        <w:jc w:val="both"/>
        <w:rPr>
          <w:rFonts w:hint="default" w:ascii="Times New Roman" w:hAnsi="Times New Roman" w:eastAsia="宋体" w:cs="Times New Roman"/>
          <w:b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default" w:ascii="Times New Roman" w:hAnsi="Times New Roman" w:eastAsia="宋体" w:cs="Times New Roman"/>
          <w:b/>
          <w:color w:val="auto"/>
          <w:kern w:val="2"/>
          <w:sz w:val="28"/>
          <w:szCs w:val="28"/>
          <w:lang w:val="en-US" w:eastAsia="zh-CN" w:bidi="ar-SA"/>
        </w:rPr>
        <w:t>跟踪审查</w:t>
      </w:r>
    </w:p>
    <w:p>
      <w:pPr>
        <w:widowControl w:val="0"/>
        <w:numPr>
          <w:ilvl w:val="0"/>
          <w:numId w:val="5"/>
        </w:numPr>
        <w:spacing w:before="234" w:beforeLines="75" w:after="234" w:afterLines="75" w:line="300" w:lineRule="auto"/>
        <w:ind w:left="420" w:hanging="42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b/>
          <w:color w:val="auto"/>
          <w:kern w:val="2"/>
          <w:sz w:val="24"/>
          <w:szCs w:val="24"/>
          <w:lang w:val="en-US" w:eastAsia="zh-CN" w:bidi="ar-SA"/>
        </w:rPr>
        <w:t>修正案审查申请</w:t>
      </w:r>
    </w:p>
    <w:p>
      <w:pPr>
        <w:widowControl w:val="0"/>
        <w:numPr>
          <w:ilvl w:val="0"/>
          <w:numId w:val="6"/>
        </w:numPr>
        <w:spacing w:line="300" w:lineRule="auto"/>
        <w:ind w:left="420" w:leftChars="0" w:firstLine="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修正案审查申请表</w:t>
      </w:r>
    </w:p>
    <w:p>
      <w:pPr>
        <w:widowControl w:val="0"/>
        <w:numPr>
          <w:ilvl w:val="0"/>
          <w:numId w:val="6"/>
        </w:numPr>
        <w:spacing w:line="300" w:lineRule="auto"/>
        <w:ind w:left="420" w:leftChars="0" w:firstLine="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修正说明页</w:t>
      </w:r>
    </w:p>
    <w:p>
      <w:pPr>
        <w:widowControl w:val="0"/>
        <w:numPr>
          <w:ilvl w:val="0"/>
          <w:numId w:val="6"/>
        </w:numPr>
        <w:spacing w:line="300" w:lineRule="auto"/>
        <w:ind w:left="420" w:leftChars="0" w:firstLine="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修正的临床研究方案（注明版本号/版本日期）</w:t>
      </w:r>
    </w:p>
    <w:p>
      <w:pPr>
        <w:widowControl w:val="0"/>
        <w:numPr>
          <w:ilvl w:val="0"/>
          <w:numId w:val="6"/>
        </w:numPr>
        <w:spacing w:line="300" w:lineRule="auto"/>
        <w:ind w:left="420" w:leftChars="0" w:firstLine="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修正的知情同意书（注明版本号/版本日期）</w:t>
      </w:r>
    </w:p>
    <w:p>
      <w:pPr>
        <w:widowControl w:val="0"/>
        <w:numPr>
          <w:ilvl w:val="0"/>
          <w:numId w:val="6"/>
        </w:numPr>
        <w:spacing w:line="300" w:lineRule="auto"/>
        <w:ind w:left="420" w:leftChars="0" w:firstLine="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修正的招募材料（注明版本号/版本日期）</w:t>
      </w:r>
    </w:p>
    <w:p>
      <w:pPr>
        <w:widowControl w:val="0"/>
        <w:numPr>
          <w:ilvl w:val="0"/>
          <w:numId w:val="6"/>
        </w:numPr>
        <w:spacing w:line="300" w:lineRule="auto"/>
        <w:ind w:left="420" w:leftChars="0" w:firstLine="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其他</w:t>
      </w:r>
    </w:p>
    <w:p>
      <w:pPr>
        <w:widowControl w:val="0"/>
        <w:numPr>
          <w:ilvl w:val="0"/>
          <w:numId w:val="5"/>
        </w:numPr>
        <w:spacing w:before="234" w:beforeLines="75" w:after="234" w:afterLines="75" w:line="300" w:lineRule="auto"/>
        <w:ind w:left="420" w:hanging="420" w:firstLineChars="0"/>
        <w:jc w:val="both"/>
        <w:rPr>
          <w:rFonts w:hint="default" w:ascii="Times New Roman" w:hAnsi="Times New Roman" w:eastAsia="宋体" w:cs="Times New Roman"/>
          <w:b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b/>
          <w:color w:val="auto"/>
          <w:kern w:val="2"/>
          <w:sz w:val="24"/>
          <w:szCs w:val="24"/>
          <w:lang w:val="en-US" w:eastAsia="zh-CN" w:bidi="ar-SA"/>
        </w:rPr>
        <w:t>年度/定期跟踪审查报告</w:t>
      </w:r>
    </w:p>
    <w:p>
      <w:pPr>
        <w:widowControl w:val="0"/>
        <w:numPr>
          <w:ilvl w:val="0"/>
          <w:numId w:val="7"/>
        </w:numPr>
        <w:spacing w:line="300" w:lineRule="auto"/>
        <w:ind w:left="420" w:leftChars="0" w:firstLine="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本中心年度/定期跟踪审查报告</w:t>
      </w:r>
    </w:p>
    <w:p>
      <w:pPr>
        <w:widowControl w:val="0"/>
        <w:numPr>
          <w:ilvl w:val="0"/>
          <w:numId w:val="7"/>
        </w:numPr>
        <w:spacing w:line="300" w:lineRule="auto"/>
        <w:ind w:left="420" w:leftChars="0" w:firstLine="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多中心临床研究各中心研究进展汇总报告</w:t>
      </w:r>
    </w:p>
    <w:p>
      <w:pPr>
        <w:widowControl w:val="0"/>
        <w:numPr>
          <w:ilvl w:val="0"/>
          <w:numId w:val="7"/>
        </w:numPr>
        <w:spacing w:line="300" w:lineRule="auto"/>
        <w:ind w:left="420" w:leftChars="0" w:firstLine="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组长单位伦理委员会的年度/定期跟踪审查的决定文件</w:t>
      </w:r>
    </w:p>
    <w:p>
      <w:pPr>
        <w:widowControl w:val="0"/>
        <w:numPr>
          <w:ilvl w:val="0"/>
          <w:numId w:val="7"/>
        </w:numPr>
        <w:spacing w:line="300" w:lineRule="auto"/>
        <w:ind w:left="420" w:leftChars="0" w:firstLine="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其他</w:t>
      </w:r>
    </w:p>
    <w:p>
      <w:pPr>
        <w:widowControl w:val="0"/>
        <w:numPr>
          <w:ilvl w:val="0"/>
          <w:numId w:val="5"/>
        </w:numPr>
        <w:spacing w:before="234" w:beforeLines="75" w:after="234" w:afterLines="75" w:line="300" w:lineRule="auto"/>
        <w:ind w:left="420" w:hanging="420" w:firstLineChars="0"/>
        <w:jc w:val="both"/>
        <w:rPr>
          <w:rFonts w:hint="default" w:ascii="Times New Roman" w:hAnsi="Times New Roman" w:eastAsia="宋体" w:cs="Times New Roman"/>
          <w:b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b/>
          <w:color w:val="auto"/>
          <w:kern w:val="2"/>
          <w:sz w:val="24"/>
          <w:szCs w:val="24"/>
          <w:lang w:val="en-US" w:eastAsia="zh-CN" w:bidi="ar-SA"/>
        </w:rPr>
        <w:t>严重不良事件报告</w:t>
      </w:r>
    </w:p>
    <w:p>
      <w:pPr>
        <w:widowControl w:val="0"/>
        <w:numPr>
          <w:ilvl w:val="0"/>
          <w:numId w:val="8"/>
        </w:numPr>
        <w:spacing w:line="300" w:lineRule="auto"/>
        <w:ind w:left="850" w:leftChars="0" w:hanging="43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严重不良事件报告</w:t>
      </w:r>
    </w:p>
    <w:p>
      <w:pPr>
        <w:widowControl w:val="0"/>
        <w:numPr>
          <w:ilvl w:val="0"/>
          <w:numId w:val="8"/>
        </w:numPr>
        <w:spacing w:line="300" w:lineRule="auto"/>
        <w:ind w:left="850" w:leftChars="0" w:hanging="43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严重不良事件涉及死亡事件相关的其他资料文件，如尸检报告，最终医学报告。</w:t>
      </w:r>
    </w:p>
    <w:p>
      <w:pPr>
        <w:widowControl w:val="0"/>
        <w:numPr>
          <w:ilvl w:val="0"/>
          <w:numId w:val="8"/>
        </w:numPr>
        <w:spacing w:line="300" w:lineRule="auto"/>
        <w:ind w:left="850" w:leftChars="0" w:hanging="43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其他伦理委员会对其中心的非预期药物临床严重不良反应审查意见【适用于外院SUSAR】</w:t>
      </w:r>
    </w:p>
    <w:p>
      <w:pPr>
        <w:widowControl w:val="0"/>
        <w:numPr>
          <w:ilvl w:val="0"/>
          <w:numId w:val="5"/>
        </w:numPr>
        <w:spacing w:before="234" w:beforeLines="75" w:after="234" w:afterLines="75" w:line="300" w:lineRule="auto"/>
        <w:ind w:left="420" w:hanging="420" w:firstLineChars="0"/>
        <w:jc w:val="both"/>
        <w:rPr>
          <w:rFonts w:hint="default" w:ascii="Times New Roman" w:hAnsi="Times New Roman" w:eastAsia="宋体" w:cs="Times New Roman"/>
          <w:b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b/>
          <w:color w:val="auto"/>
          <w:kern w:val="2"/>
          <w:sz w:val="24"/>
          <w:szCs w:val="24"/>
          <w:lang w:val="en-US" w:eastAsia="zh-CN" w:bidi="ar-SA"/>
        </w:rPr>
        <w:t>违背方案报告</w:t>
      </w:r>
    </w:p>
    <w:p>
      <w:pPr>
        <w:widowControl w:val="0"/>
        <w:numPr>
          <w:ilvl w:val="0"/>
          <w:numId w:val="9"/>
        </w:numPr>
        <w:spacing w:line="300" w:lineRule="auto"/>
        <w:ind w:left="420" w:leftChars="0" w:firstLine="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违背方案报告及说明解释文件</w:t>
      </w:r>
    </w:p>
    <w:p>
      <w:pPr>
        <w:widowControl w:val="0"/>
        <w:numPr>
          <w:ilvl w:val="0"/>
          <w:numId w:val="5"/>
        </w:numPr>
        <w:spacing w:before="234" w:beforeLines="75" w:after="234" w:afterLines="75" w:line="300" w:lineRule="auto"/>
        <w:ind w:left="420" w:hanging="420" w:firstLineChars="0"/>
        <w:jc w:val="both"/>
        <w:rPr>
          <w:rFonts w:hint="default" w:ascii="Times New Roman" w:hAnsi="Times New Roman" w:eastAsia="宋体" w:cs="Times New Roman"/>
          <w:b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b/>
          <w:color w:val="auto"/>
          <w:kern w:val="2"/>
          <w:sz w:val="24"/>
          <w:szCs w:val="24"/>
          <w:lang w:val="en-US" w:eastAsia="zh-CN" w:bidi="ar-SA"/>
        </w:rPr>
        <w:t>暂停/终止研究报告</w:t>
      </w:r>
    </w:p>
    <w:p>
      <w:pPr>
        <w:widowControl w:val="0"/>
        <w:numPr>
          <w:ilvl w:val="0"/>
          <w:numId w:val="10"/>
        </w:numPr>
        <w:spacing w:line="300" w:lineRule="auto"/>
        <w:ind w:left="420" w:leftChars="0" w:firstLine="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暂停/终止研究报告</w:t>
      </w:r>
    </w:p>
    <w:p>
      <w:pPr>
        <w:widowControl w:val="0"/>
        <w:numPr>
          <w:ilvl w:val="0"/>
          <w:numId w:val="5"/>
        </w:numPr>
        <w:spacing w:before="234" w:beforeLines="75" w:after="234" w:afterLines="75" w:line="300" w:lineRule="auto"/>
        <w:ind w:left="420" w:hanging="420" w:firstLineChars="0"/>
        <w:jc w:val="both"/>
        <w:rPr>
          <w:rFonts w:hint="default" w:ascii="Times New Roman" w:hAnsi="Times New Roman" w:eastAsia="宋体" w:cs="Times New Roman"/>
          <w:b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b/>
          <w:color w:val="auto"/>
          <w:kern w:val="2"/>
          <w:sz w:val="24"/>
          <w:szCs w:val="24"/>
          <w:lang w:val="en-US" w:eastAsia="zh-CN" w:bidi="ar-SA"/>
        </w:rPr>
        <w:t>结题报告</w:t>
      </w:r>
    </w:p>
    <w:p>
      <w:pPr>
        <w:widowControl w:val="0"/>
        <w:numPr>
          <w:ilvl w:val="0"/>
          <w:numId w:val="11"/>
        </w:numPr>
        <w:spacing w:line="300" w:lineRule="auto"/>
        <w:ind w:left="420" w:leftChars="0" w:firstLine="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结题报告</w:t>
      </w:r>
    </w:p>
    <w:p>
      <w:pPr>
        <w:widowControl w:val="0"/>
        <w:numPr>
          <w:ilvl w:val="0"/>
          <w:numId w:val="10"/>
        </w:numPr>
        <w:spacing w:line="300" w:lineRule="auto"/>
        <w:ind w:left="420" w:leftChars="0" w:firstLine="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研究总结报告</w:t>
      </w:r>
    </w:p>
    <w:p>
      <w:pPr>
        <w:widowControl w:val="0"/>
        <w:numPr>
          <w:ilvl w:val="0"/>
          <w:numId w:val="1"/>
        </w:numPr>
        <w:spacing w:before="234" w:beforeLines="75" w:after="234" w:afterLines="75" w:line="360" w:lineRule="auto"/>
        <w:ind w:left="510" w:leftChars="0" w:hanging="510" w:firstLineChars="0"/>
        <w:jc w:val="both"/>
        <w:rPr>
          <w:rFonts w:hint="default" w:ascii="Times New Roman" w:hAnsi="Times New Roman" w:eastAsia="宋体" w:cs="Times New Roman"/>
          <w:b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default" w:ascii="Times New Roman" w:hAnsi="Times New Roman" w:eastAsia="宋体" w:cs="Times New Roman"/>
          <w:b/>
          <w:color w:val="auto"/>
          <w:kern w:val="2"/>
          <w:sz w:val="28"/>
          <w:szCs w:val="28"/>
          <w:lang w:val="en-US" w:eastAsia="zh-CN" w:bidi="ar-SA"/>
        </w:rPr>
        <w:t>复审</w:t>
      </w:r>
    </w:p>
    <w:p>
      <w:pPr>
        <w:widowControl w:val="0"/>
        <w:numPr>
          <w:ilvl w:val="0"/>
          <w:numId w:val="12"/>
        </w:numPr>
        <w:spacing w:before="234" w:beforeLines="75" w:after="234" w:afterLines="75" w:line="300" w:lineRule="auto"/>
        <w:ind w:left="420" w:leftChars="0" w:hanging="42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复审申请表</w:t>
      </w:r>
    </w:p>
    <w:p>
      <w:pPr>
        <w:widowControl w:val="0"/>
        <w:numPr>
          <w:ilvl w:val="0"/>
          <w:numId w:val="12"/>
        </w:numPr>
        <w:spacing w:before="234" w:beforeLines="75" w:after="234" w:afterLines="75" w:line="300" w:lineRule="auto"/>
        <w:ind w:left="420" w:leftChars="0" w:hanging="42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修正的临床研究方案（注明版本号/版本日期）</w:t>
      </w:r>
    </w:p>
    <w:p>
      <w:pPr>
        <w:widowControl w:val="0"/>
        <w:numPr>
          <w:ilvl w:val="0"/>
          <w:numId w:val="12"/>
        </w:numPr>
        <w:spacing w:before="234" w:beforeLines="75" w:after="234" w:afterLines="75" w:line="300" w:lineRule="auto"/>
        <w:ind w:left="420" w:leftChars="0" w:hanging="42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修正的知情同意书（注明版本号/版本日期）</w:t>
      </w:r>
    </w:p>
    <w:p>
      <w:pPr>
        <w:widowControl w:val="0"/>
        <w:numPr>
          <w:ilvl w:val="0"/>
          <w:numId w:val="12"/>
        </w:numPr>
        <w:spacing w:before="234" w:beforeLines="75" w:after="234" w:afterLines="75" w:line="300" w:lineRule="auto"/>
        <w:ind w:left="420" w:leftChars="0" w:hanging="420" w:firstLineChars="0"/>
        <w:jc w:val="both"/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修正的招募材料（注明版本号/版本日期）</w:t>
      </w:r>
    </w:p>
    <w:p>
      <w:pPr>
        <w:widowControl w:val="0"/>
        <w:numPr>
          <w:ilvl w:val="0"/>
          <w:numId w:val="12"/>
        </w:numPr>
        <w:spacing w:before="234" w:beforeLines="75" w:after="234" w:afterLines="75" w:line="300" w:lineRule="auto"/>
        <w:ind w:left="420" w:leftChars="0" w:hanging="420" w:firstLineChars="0"/>
        <w:jc w:val="both"/>
      </w:pPr>
      <w:r>
        <w:rPr>
          <w:rFonts w:hint="default" w:ascii="Times New Roman" w:hAnsi="Times New Roman" w:eastAsia="宋体" w:cs="Times New Roman"/>
          <w:color w:val="auto"/>
          <w:kern w:val="2"/>
          <w:sz w:val="24"/>
          <w:szCs w:val="24"/>
          <w:lang w:val="en-US" w:eastAsia="zh-CN" w:bidi="ar-SA"/>
        </w:rPr>
        <w:t>其他</w:t>
      </w:r>
    </w:p>
    <w:sectPr>
      <w:headerReference r:id="rId3" w:type="default"/>
      <w:footerReference r:id="rId4" w:type="default"/>
      <w:pgSz w:w="11906" w:h="16838"/>
      <w:pgMar w:top="1417" w:right="1417" w:bottom="1417" w:left="1701" w:header="680" w:footer="68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hint="eastAsia"/>
        <w:lang w:val="en-US" w:eastAsia="zh-CN"/>
      </w:rPr>
    </w:pPr>
    <w:r>
      <w:rPr>
        <w:rFonts w:hint="default"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第 </w:t>
                          </w:r>
                          <w:r>
                            <w:rPr>
                              <w:rFonts w:hint="eastAsia"/>
                              <w:lang w:val="en-US" w:eastAsia="zh-CN"/>
                            </w:rPr>
                            <w:t xml:space="preserve">  </w:t>
                          </w:r>
                          <w:r>
                            <w:t xml:space="preserve"> 页 共 </w:t>
                          </w:r>
                          <w:r>
                            <w:rPr>
                              <w:rFonts w:hint="eastAsia"/>
                              <w:lang w:val="en-US" w:eastAsia="zh-CN"/>
                            </w:rPr>
                            <w:t xml:space="preserve">  </w:t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第 </w:t>
                    </w:r>
                    <w:r>
                      <w:rPr>
                        <w:rFonts w:hint="eastAsia"/>
                        <w:lang w:val="en-US" w:eastAsia="zh-CN"/>
                      </w:rPr>
                      <w:t xml:space="preserve">  </w:t>
                    </w:r>
                    <w:r>
                      <w:t xml:space="preserve"> 页 共 </w:t>
                    </w:r>
                    <w:r>
                      <w:rPr>
                        <w:rFonts w:hint="eastAsia"/>
                        <w:lang w:val="en-US" w:eastAsia="zh-CN"/>
                      </w:rPr>
                      <w:t xml:space="preserve">  </w:t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  <w:lang w:val="en-US" w:eastAsia="zh-CN"/>
      </w:rPr>
      <w:t>青岛市第六人民医院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rFonts w:hint="eastAsia"/>
        <w:lang w:val="en-US" w:eastAsia="zh-CN"/>
      </w:rPr>
    </w:pPr>
    <w:r>
      <w:rPr>
        <w:rFonts w:hint="eastAsia" w:cs="Times New Roman"/>
        <w:sz w:val="18"/>
        <w:szCs w:val="18"/>
        <w:lang w:val="en-US" w:eastAsia="zh-CN"/>
      </w:rPr>
      <w:t xml:space="preserve">                                                 </w:t>
    </w:r>
    <w:r>
      <w:rPr>
        <w:rFonts w:hint="default" w:ascii="Times New Roman" w:hAnsi="Times New Roman" w:eastAsia="宋体" w:cs="Times New Roman"/>
        <w:sz w:val="18"/>
        <w:szCs w:val="18"/>
        <w:lang w:val="en-US" w:eastAsia="zh-CN"/>
      </w:rPr>
      <w:t>QDSPHEC</w:t>
    </w:r>
    <w:r>
      <w:rPr>
        <w:rFonts w:hint="default" w:ascii="Times New Roman" w:hAnsi="Times New Roman" w:eastAsia="宋体" w:cs="Times New Roman"/>
        <w:sz w:val="18"/>
        <w:szCs w:val="18"/>
      </w:rPr>
      <w:t>-SOP-00</w:t>
    </w:r>
    <w:r>
      <w:rPr>
        <w:rFonts w:hint="eastAsia" w:cs="Times New Roman"/>
        <w:sz w:val="18"/>
        <w:szCs w:val="18"/>
        <w:lang w:val="en-US" w:eastAsia="zh-CN"/>
      </w:rPr>
      <w:t>4-FM0</w:t>
    </w:r>
    <w:r>
      <w:rPr>
        <w:rFonts w:hint="default" w:cs="Times New Roman"/>
        <w:sz w:val="18"/>
        <w:szCs w:val="18"/>
        <w:lang w:val="en-US" w:eastAsia="zh-CN"/>
      </w:rPr>
      <w:t>1</w:t>
    </w:r>
    <w:r>
      <w:rPr>
        <w:rFonts w:hint="eastAsia" w:cs="Times New Roman"/>
        <w:sz w:val="18"/>
        <w:szCs w:val="18"/>
        <w:lang w:eastAsia="zh-CN"/>
      </w:rPr>
      <w:t>（</w:t>
    </w:r>
    <w:r>
      <w:rPr>
        <w:rFonts w:hint="eastAsia" w:cs="Times New Roman"/>
        <w:sz w:val="18"/>
        <w:szCs w:val="18"/>
        <w:lang w:val="en-US" w:eastAsia="zh-CN"/>
      </w:rPr>
      <w:t>V1.0</w:t>
    </w:r>
    <w:r>
      <w:rPr>
        <w:rFonts w:hint="eastAsia" w:cs="Times New Roman"/>
        <w:sz w:val="18"/>
        <w:szCs w:val="18"/>
        <w:lang w:eastAsia="zh-CN"/>
      </w:rPr>
      <w:t>）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6312857"/>
    <w:multiLevelType w:val="singleLevel"/>
    <w:tmpl w:val="86312857"/>
    <w:lvl w:ilvl="0" w:tentative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1">
    <w:nsid w:val="9B759F41"/>
    <w:multiLevelType w:val="singleLevel"/>
    <w:tmpl w:val="9B759F41"/>
    <w:lvl w:ilvl="0" w:tentative="0">
      <w:start w:val="1"/>
      <w:numFmt w:val="decimal"/>
      <w:suff w:val="space"/>
      <w:lvlText w:val="%1)"/>
      <w:lvlJc w:val="left"/>
      <w:pPr>
        <w:ind w:left="425" w:hanging="425"/>
      </w:pPr>
      <w:rPr>
        <w:rFonts w:hint="default"/>
      </w:rPr>
    </w:lvl>
  </w:abstractNum>
  <w:abstractNum w:abstractNumId="2">
    <w:nsid w:val="BCDD49C0"/>
    <w:multiLevelType w:val="singleLevel"/>
    <w:tmpl w:val="BCDD49C0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3">
    <w:nsid w:val="C4194505"/>
    <w:multiLevelType w:val="multilevel"/>
    <w:tmpl w:val="C4194505"/>
    <w:lvl w:ilvl="0" w:tentative="0">
      <w:start w:val="1"/>
      <w:numFmt w:val="decimal"/>
      <w:suff w:val="space"/>
      <w:lvlText w:val="%1."/>
      <w:lvlJc w:val="left"/>
      <w:pPr>
        <w:ind w:left="420" w:hanging="420"/>
      </w:pPr>
      <w:rPr>
        <w:rFonts w:hint="default"/>
        <w:b w:val="0"/>
        <w:bCs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D59A5F49"/>
    <w:multiLevelType w:val="singleLevel"/>
    <w:tmpl w:val="D59A5F49"/>
    <w:lvl w:ilvl="0" w:tentative="0">
      <w:start w:val="1"/>
      <w:numFmt w:val="decimal"/>
      <w:suff w:val="space"/>
      <w:lvlText w:val="%1)"/>
      <w:lvlJc w:val="left"/>
      <w:pPr>
        <w:ind w:left="425" w:hanging="425"/>
      </w:pPr>
      <w:rPr>
        <w:rFonts w:hint="default"/>
      </w:rPr>
    </w:lvl>
  </w:abstractNum>
  <w:abstractNum w:abstractNumId="5">
    <w:nsid w:val="2BBE56DB"/>
    <w:multiLevelType w:val="multilevel"/>
    <w:tmpl w:val="2BBE56DB"/>
    <w:lvl w:ilvl="0" w:tentative="0">
      <w:start w:val="1"/>
      <w:numFmt w:val="decimal"/>
      <w:lvlText w:val="%1"/>
      <w:lvlJc w:val="left"/>
      <w:pPr>
        <w:ind w:left="420" w:hanging="420"/>
      </w:pPr>
      <w:rPr>
        <w:rFonts w:hint="default" w:ascii="Times New Roman" w:hAnsi="Times New Roman" w:cs="Times New Roman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3EA3344E"/>
    <w:multiLevelType w:val="multilevel"/>
    <w:tmpl w:val="3EA3344E"/>
    <w:lvl w:ilvl="0" w:tentative="0">
      <w:start w:val="1"/>
      <w:numFmt w:val="decimal"/>
      <w:lvlText w:val="%1."/>
      <w:lvlJc w:val="left"/>
      <w:pPr>
        <w:ind w:left="420" w:hanging="420"/>
      </w:pPr>
      <w:rPr>
        <w:rFonts w:hint="default" w:ascii="Times New Roman" w:hAnsi="Times New Roman" w:cs="Times New Roman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3FE365C3"/>
    <w:multiLevelType w:val="singleLevel"/>
    <w:tmpl w:val="3FE365C3"/>
    <w:lvl w:ilvl="0" w:tentative="0">
      <w:start w:val="1"/>
      <w:numFmt w:val="decimal"/>
      <w:suff w:val="space"/>
      <w:lvlText w:val="%1)"/>
      <w:lvlJc w:val="left"/>
      <w:pPr>
        <w:ind w:left="425" w:hanging="425"/>
      </w:pPr>
      <w:rPr>
        <w:rFonts w:hint="default"/>
      </w:rPr>
    </w:lvl>
  </w:abstractNum>
  <w:abstractNum w:abstractNumId="8">
    <w:nsid w:val="4C09CD26"/>
    <w:multiLevelType w:val="singleLevel"/>
    <w:tmpl w:val="4C09CD26"/>
    <w:lvl w:ilvl="0" w:tentative="0">
      <w:start w:val="1"/>
      <w:numFmt w:val="decimal"/>
      <w:suff w:val="space"/>
      <w:lvlText w:val="%1)"/>
      <w:lvlJc w:val="left"/>
      <w:pPr>
        <w:ind w:left="425" w:hanging="425"/>
      </w:pPr>
      <w:rPr>
        <w:rFonts w:hint="default"/>
      </w:rPr>
    </w:lvl>
  </w:abstractNum>
  <w:abstractNum w:abstractNumId="9">
    <w:nsid w:val="4EAF6D0C"/>
    <w:multiLevelType w:val="multilevel"/>
    <w:tmpl w:val="4EAF6D0C"/>
    <w:lvl w:ilvl="0" w:tentative="0">
      <w:start w:val="1"/>
      <w:numFmt w:val="japaneseCounting"/>
      <w:suff w:val="space"/>
      <w:lvlText w:val="%1、"/>
      <w:lvlJc w:val="left"/>
      <w:pPr>
        <w:ind w:left="510" w:hanging="51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840" w:hanging="420"/>
      </w:pPr>
      <w:rPr>
        <w:rFonts w:hint="eastAsia"/>
      </w:rPr>
    </w:lvl>
    <w:lvl w:ilvl="2" w:tentative="0">
      <w:start w:val="1"/>
      <w:numFmt w:val="lowerRoman"/>
      <w:lvlText w:val="%3."/>
      <w:lvlJc w:val="right"/>
      <w:pPr>
        <w:ind w:left="1260" w:hanging="420"/>
      </w:pPr>
      <w:rPr>
        <w:rFonts w:hint="eastAsia"/>
      </w:rPr>
    </w:lvl>
    <w:lvl w:ilvl="3" w:tentative="0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 w:tentative="0">
      <w:start w:val="1"/>
      <w:numFmt w:val="lowerLetter"/>
      <w:lvlText w:val="%5)"/>
      <w:lvlJc w:val="left"/>
      <w:pPr>
        <w:ind w:left="2100" w:hanging="420"/>
      </w:pPr>
      <w:rPr>
        <w:rFonts w:hint="eastAsia"/>
      </w:rPr>
    </w:lvl>
    <w:lvl w:ilvl="5" w:tentative="0">
      <w:start w:val="1"/>
      <w:numFmt w:val="lowerRoman"/>
      <w:lvlText w:val="%6."/>
      <w:lvlJc w:val="right"/>
      <w:pPr>
        <w:ind w:left="2520" w:hanging="420"/>
      </w:pPr>
      <w:rPr>
        <w:rFonts w:hint="eastAsia"/>
      </w:rPr>
    </w:lvl>
    <w:lvl w:ilvl="6" w:tentative="0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 w:tentative="0">
      <w:start w:val="1"/>
      <w:numFmt w:val="lowerLetter"/>
      <w:lvlText w:val="%8)"/>
      <w:lvlJc w:val="left"/>
      <w:pPr>
        <w:ind w:left="3360" w:hanging="420"/>
      </w:pPr>
      <w:rPr>
        <w:rFonts w:hint="eastAsia"/>
      </w:rPr>
    </w:lvl>
    <w:lvl w:ilvl="8" w:tentative="0">
      <w:start w:val="1"/>
      <w:numFmt w:val="lowerRoman"/>
      <w:lvlText w:val="%9."/>
      <w:lvlJc w:val="right"/>
      <w:pPr>
        <w:ind w:left="3780" w:hanging="420"/>
      </w:pPr>
      <w:rPr>
        <w:rFonts w:hint="eastAsia"/>
      </w:rPr>
    </w:lvl>
  </w:abstractNum>
  <w:abstractNum w:abstractNumId="10">
    <w:nsid w:val="5F89073A"/>
    <w:multiLevelType w:val="multilevel"/>
    <w:tmpl w:val="5F89073A"/>
    <w:lvl w:ilvl="0" w:tentative="0">
      <w:start w:val="1"/>
      <w:numFmt w:val="decimal"/>
      <w:suff w:val="space"/>
      <w:lvlText w:val="%1."/>
      <w:lvlJc w:val="left"/>
      <w:pPr>
        <w:ind w:left="420" w:hanging="420"/>
      </w:pPr>
      <w:rPr>
        <w:rFonts w:hint="eastAsia"/>
        <w:b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7F669B4B"/>
    <w:multiLevelType w:val="singleLevel"/>
    <w:tmpl w:val="7F669B4B"/>
    <w:lvl w:ilvl="0" w:tentative="0">
      <w:start w:val="1"/>
      <w:numFmt w:val="decimal"/>
      <w:suff w:val="space"/>
      <w:lvlText w:val="%1)"/>
      <w:lvlJc w:val="left"/>
      <w:pPr>
        <w:ind w:left="425" w:hanging="425"/>
      </w:pPr>
      <w:rPr>
        <w:rFonts w:hint="default"/>
      </w:rPr>
    </w:lvl>
  </w:abstractNum>
  <w:num w:numId="1">
    <w:abstractNumId w:val="9"/>
  </w:num>
  <w:num w:numId="2">
    <w:abstractNumId w:val="6"/>
  </w:num>
  <w:num w:numId="3">
    <w:abstractNumId w:val="5"/>
  </w:num>
  <w:num w:numId="4">
    <w:abstractNumId w:val="2"/>
  </w:num>
  <w:num w:numId="5">
    <w:abstractNumId w:val="10"/>
  </w:num>
  <w:num w:numId="6">
    <w:abstractNumId w:val="7"/>
  </w:num>
  <w:num w:numId="7">
    <w:abstractNumId w:val="8"/>
  </w:num>
  <w:num w:numId="8">
    <w:abstractNumId w:val="0"/>
  </w:num>
  <w:num w:numId="9">
    <w:abstractNumId w:val="1"/>
  </w:num>
  <w:num w:numId="10">
    <w:abstractNumId w:val="11"/>
  </w:num>
  <w:num w:numId="11">
    <w:abstractNumId w:val="4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ZlMGFjYjkwNzNmZDg5ZDBjMWIxYTg0NmRjYjc0MmEifQ=="/>
    <w:docVar w:name="KSO_WPS_MARK_KEY" w:val="c47e9902-13f4-4f88-a9fe-035fa54be59a"/>
  </w:docVars>
  <w:rsids>
    <w:rsidRoot w:val="00000000"/>
    <w:rsid w:val="0E9D616D"/>
    <w:rsid w:val="23E07436"/>
    <w:rsid w:val="28DA3A52"/>
    <w:rsid w:val="5B9E2A25"/>
    <w:rsid w:val="756D0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出段落1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  <w:style w:type="paragraph" w:customStyle="1" w:styleId="7">
    <w:name w:val="列出段落2"/>
    <w:basedOn w:val="1"/>
    <w:qFormat/>
    <w:uiPriority w:val="99"/>
    <w:pPr>
      <w:ind w:firstLine="420" w:firstLineChars="200"/>
    </w:pPr>
  </w:style>
  <w:style w:type="paragraph" w:styleId="8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992</Words>
  <Characters>1030</Characters>
  <Lines>0</Lines>
  <Paragraphs>0</Paragraphs>
  <TotalTime>0</TotalTime>
  <ScaleCrop>false</ScaleCrop>
  <LinksUpToDate>false</LinksUpToDate>
  <CharactersWithSpaces>1032</CharactersWithSpaces>
  <Application>WPS Office_11.1.0.12650_F1E327BC-269C-435d-A152-05C5408002CA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2024-03-27T06:43:00Z</dcterms:created>
  <dc:creator>Administrator</dc:creator>
  <cp:lastModifiedBy>Administrator</cp:lastModifiedBy>
  <dcterms:modified xsi:type="dcterms:W3CDTF">2024-05-23T05:04:36Z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2052-11.1.0.12650</vt:lpwstr>
  </property>
  <property fmtid="{D5CDD505-2E9C-101B-9397-08002B2CF9AE}" pid="3" name="ICV">
    <vt:lpwstr>51B8094E781F41BDB3F03BC09B3DC997_12</vt:lpwstr>
  </property>
</Properties>
</file>